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7" w:rsidRDefault="000C7C17" w:rsidP="000C7C17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附件一：</w:t>
      </w:r>
    </w:p>
    <w:p w:rsidR="000C7C17" w:rsidRPr="00845E7F" w:rsidRDefault="000C7C17" w:rsidP="000C7C17">
      <w:pPr>
        <w:jc w:val="center"/>
        <w:rPr>
          <w:b/>
          <w:color w:val="000000" w:themeColor="text1"/>
          <w:sz w:val="24"/>
        </w:rPr>
      </w:pPr>
      <w:r w:rsidRPr="00845E7F">
        <w:rPr>
          <w:rFonts w:hint="eastAsia"/>
          <w:b/>
          <w:color w:val="000000" w:themeColor="text1"/>
          <w:sz w:val="24"/>
        </w:rPr>
        <w:t>药物稳定性试验箱</w:t>
      </w:r>
    </w:p>
    <w:p w:rsidR="000C7C17" w:rsidRDefault="000C7C17" w:rsidP="000C7C17">
      <w:pPr>
        <w:jc w:val="center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</w:rPr>
        <w:drawing>
          <wp:inline distT="0" distB="0" distL="0" distR="0">
            <wp:extent cx="2970169" cy="2055020"/>
            <wp:effectExtent l="0" t="457200" r="0" b="440530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55" t="2196" b="14273"/>
                    <a:stretch/>
                  </pic:blipFill>
                  <pic:spPr bwMode="auto">
                    <a:xfrm rot="5400000">
                      <a:off x="0" y="0"/>
                      <a:ext cx="2977101" cy="205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C17" w:rsidRPr="00845E7F" w:rsidRDefault="000C7C17" w:rsidP="000C7C17">
      <w:pPr>
        <w:spacing w:before="100" w:beforeAutospacing="1" w:after="100" w:afterAutospacing="1"/>
        <w:outlineLvl w:val="1"/>
        <w:rPr>
          <w:b/>
          <w:color w:val="000000" w:themeColor="text1"/>
          <w:sz w:val="24"/>
        </w:rPr>
      </w:pPr>
      <w:r w:rsidRPr="00845E7F">
        <w:rPr>
          <w:rFonts w:eastAsiaTheme="minorEastAsia" w:hAnsiTheme="minorEastAsia"/>
          <w:b/>
          <w:color w:val="000000" w:themeColor="text1"/>
          <w:sz w:val="24"/>
        </w:rPr>
        <w:t>基本信息</w:t>
      </w:r>
    </w:p>
    <w:tbl>
      <w:tblPr>
        <w:tblStyle w:val="2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3152"/>
        <w:gridCol w:w="1418"/>
        <w:gridCol w:w="3085"/>
      </w:tblGrid>
      <w:tr w:rsidR="000C7C17" w:rsidRPr="000D0CB7" w:rsidTr="00093432">
        <w:trPr>
          <w:trHeight w:val="388"/>
        </w:trPr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仪器名称：</w:t>
            </w:r>
          </w:p>
        </w:tc>
        <w:tc>
          <w:tcPr>
            <w:tcW w:w="3152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rFonts w:hint="eastAsia"/>
                <w:bCs/>
                <w:color w:val="000000" w:themeColor="text1"/>
                <w:sz w:val="24"/>
              </w:rPr>
              <w:t>药物稳定性试验箱</w:t>
            </w:r>
          </w:p>
        </w:tc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所属单位：</w:t>
            </w:r>
          </w:p>
        </w:tc>
        <w:tc>
          <w:tcPr>
            <w:tcW w:w="3085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药学院</w:t>
            </w:r>
          </w:p>
        </w:tc>
      </w:tr>
      <w:tr w:rsidR="000C7C17" w:rsidRPr="000D0CB7" w:rsidTr="00093432">
        <w:trPr>
          <w:trHeight w:val="388"/>
        </w:trPr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资产编号：</w:t>
            </w:r>
          </w:p>
        </w:tc>
        <w:tc>
          <w:tcPr>
            <w:tcW w:w="3152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2019005263</w:t>
            </w:r>
          </w:p>
        </w:tc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放置地点：</w:t>
            </w:r>
          </w:p>
        </w:tc>
        <w:tc>
          <w:tcPr>
            <w:tcW w:w="3085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南校区F</w:t>
            </w:r>
            <w:r w:rsidRPr="000D0CB7">
              <w:rPr>
                <w:rFonts w:hint="eastAsia"/>
                <w:bCs/>
                <w:color w:val="000000" w:themeColor="text1"/>
                <w:sz w:val="24"/>
              </w:rPr>
              <w:t>2</w:t>
            </w:r>
            <w:r w:rsidRPr="000D0CB7">
              <w:rPr>
                <w:bCs/>
                <w:color w:val="000000" w:themeColor="text1"/>
                <w:sz w:val="24"/>
              </w:rPr>
              <w:t>栋101室</w:t>
            </w:r>
          </w:p>
        </w:tc>
      </w:tr>
      <w:tr w:rsidR="000C7C17" w:rsidRPr="000D0CB7" w:rsidTr="00093432">
        <w:trPr>
          <w:trHeight w:val="388"/>
        </w:trPr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kern w:val="0"/>
                <w:sz w:val="24"/>
              </w:rPr>
              <w:t>型号：</w:t>
            </w:r>
          </w:p>
        </w:tc>
        <w:tc>
          <w:tcPr>
            <w:tcW w:w="3152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Climacell 707</w:t>
            </w:r>
          </w:p>
        </w:tc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使用性质：</w:t>
            </w:r>
          </w:p>
        </w:tc>
        <w:tc>
          <w:tcPr>
            <w:tcW w:w="3085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科研</w:t>
            </w:r>
          </w:p>
        </w:tc>
      </w:tr>
      <w:tr w:rsidR="000C7C17" w:rsidRPr="000D0CB7" w:rsidTr="00093432">
        <w:trPr>
          <w:trHeight w:val="388"/>
        </w:trPr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kern w:val="0"/>
                <w:sz w:val="24"/>
              </w:rPr>
              <w:t>产地：</w:t>
            </w:r>
          </w:p>
        </w:tc>
        <w:tc>
          <w:tcPr>
            <w:tcW w:w="3152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rFonts w:hint="eastAsia"/>
                <w:bCs/>
                <w:color w:val="000000" w:themeColor="text1"/>
                <w:sz w:val="24"/>
              </w:rPr>
              <w:t>德国</w:t>
            </w:r>
          </w:p>
        </w:tc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所属品牌：</w:t>
            </w:r>
          </w:p>
        </w:tc>
        <w:tc>
          <w:tcPr>
            <w:tcW w:w="3085" w:type="dxa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MMM</w:t>
            </w:r>
          </w:p>
        </w:tc>
      </w:tr>
      <w:tr w:rsidR="000C7C17" w:rsidRPr="000D0CB7" w:rsidTr="00093432">
        <w:trPr>
          <w:trHeight w:val="388"/>
        </w:trPr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bookmarkStart w:id="0" w:name="_Hlk52886306"/>
            <w:r w:rsidRPr="000D0CB7">
              <w:rPr>
                <w:bCs/>
                <w:color w:val="000000" w:themeColor="text1"/>
                <w:kern w:val="0"/>
                <w:sz w:val="24"/>
              </w:rPr>
              <w:t>联系人：</w:t>
            </w:r>
          </w:p>
        </w:tc>
        <w:tc>
          <w:tcPr>
            <w:tcW w:w="7655" w:type="dxa"/>
            <w:gridSpan w:val="3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范</w:t>
            </w:r>
            <w:r w:rsidRPr="000D0CB7">
              <w:rPr>
                <w:rFonts w:hint="eastAsia"/>
                <w:bCs/>
                <w:color w:val="000000" w:themeColor="text1"/>
                <w:sz w:val="24"/>
              </w:rPr>
              <w:t>老师 42274977@qq.com</w:t>
            </w:r>
            <w:r w:rsidRPr="000D0CB7">
              <w:rPr>
                <w:bCs/>
                <w:color w:val="000000" w:themeColor="text1"/>
                <w:sz w:val="24"/>
              </w:rPr>
              <w:t xml:space="preserve"> </w:t>
            </w:r>
            <w:r w:rsidRPr="000D0CB7">
              <w:rPr>
                <w:rFonts w:hint="eastAsia"/>
                <w:bCs/>
                <w:color w:val="000000" w:themeColor="text1"/>
                <w:sz w:val="24"/>
              </w:rPr>
              <w:t xml:space="preserve"> </w:t>
            </w:r>
            <w:r w:rsidRPr="000D0CB7">
              <w:rPr>
                <w:bCs/>
                <w:color w:val="000000" w:themeColor="text1"/>
                <w:sz w:val="24"/>
              </w:rPr>
              <w:t xml:space="preserve">  </w:t>
            </w:r>
          </w:p>
        </w:tc>
      </w:tr>
      <w:bookmarkEnd w:id="0"/>
      <w:tr w:rsidR="000C7C17" w:rsidRPr="000D0CB7" w:rsidTr="00093432">
        <w:trPr>
          <w:trHeight w:val="388"/>
        </w:trPr>
        <w:tc>
          <w:tcPr>
            <w:tcW w:w="1418" w:type="dxa"/>
          </w:tcPr>
          <w:p w:rsidR="000C7C17" w:rsidRPr="000D0CB7" w:rsidRDefault="000C7C17" w:rsidP="000D0CB7">
            <w:pPr>
              <w:spacing w:line="400" w:lineRule="exact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联系地址</w:t>
            </w:r>
            <w:r w:rsidRPr="000D0CB7">
              <w:rPr>
                <w:rFonts w:hint="eastAsia"/>
                <w:bCs/>
                <w:color w:val="000000" w:themeColor="text1"/>
                <w:sz w:val="24"/>
              </w:rPr>
              <w:t>：</w:t>
            </w:r>
          </w:p>
        </w:tc>
        <w:tc>
          <w:tcPr>
            <w:tcW w:w="7655" w:type="dxa"/>
            <w:gridSpan w:val="3"/>
          </w:tcPr>
          <w:p w:rsidR="000C7C17" w:rsidRPr="000D0CB7" w:rsidRDefault="000C7C17" w:rsidP="000D0CB7">
            <w:pPr>
              <w:spacing w:line="400" w:lineRule="exact"/>
              <w:ind w:firstLine="480"/>
              <w:contextualSpacing/>
              <w:rPr>
                <w:bCs/>
                <w:color w:val="000000" w:themeColor="text1"/>
                <w:sz w:val="24"/>
              </w:rPr>
            </w:pPr>
            <w:r w:rsidRPr="000D0CB7">
              <w:rPr>
                <w:bCs/>
                <w:color w:val="000000" w:themeColor="text1"/>
                <w:sz w:val="24"/>
              </w:rPr>
              <w:t>暨南大学番禺校区药学院F2栋112办公室</w:t>
            </w:r>
          </w:p>
        </w:tc>
      </w:tr>
    </w:tbl>
    <w:p w:rsidR="000C7C17" w:rsidRPr="00845E7F" w:rsidRDefault="000C7C17" w:rsidP="000C7C17">
      <w:pPr>
        <w:spacing w:line="400" w:lineRule="exact"/>
        <w:contextualSpacing/>
        <w:rPr>
          <w:b/>
          <w:color w:val="000000" w:themeColor="text1"/>
          <w:sz w:val="24"/>
        </w:rPr>
      </w:pPr>
      <w:r w:rsidRPr="00845E7F">
        <w:rPr>
          <w:b/>
          <w:color w:val="000000" w:themeColor="text1"/>
          <w:sz w:val="24"/>
        </w:rPr>
        <w:t>主要规格及技术指标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温度范围：0℃-99.9℃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温度精度：0.1℃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温度均一性：＜±0.4℃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内</w:t>
      </w:r>
      <w:r>
        <w:rPr>
          <w:rFonts w:hint="eastAsia"/>
          <w:bCs/>
          <w:color w:val="000000" w:themeColor="text1"/>
          <w:sz w:val="24"/>
        </w:rPr>
        <w:t xml:space="preserve"> </w:t>
      </w:r>
      <w:r w:rsidRPr="00845E7F">
        <w:rPr>
          <w:rFonts w:hint="eastAsia"/>
          <w:bCs/>
          <w:color w:val="000000" w:themeColor="text1"/>
          <w:sz w:val="24"/>
        </w:rPr>
        <w:t>容</w:t>
      </w:r>
      <w:r>
        <w:rPr>
          <w:rFonts w:hint="eastAsia"/>
          <w:bCs/>
          <w:color w:val="000000" w:themeColor="text1"/>
          <w:sz w:val="24"/>
        </w:rPr>
        <w:t xml:space="preserve"> </w:t>
      </w:r>
      <w:r w:rsidRPr="00845E7F">
        <w:rPr>
          <w:rFonts w:hint="eastAsia"/>
          <w:bCs/>
          <w:color w:val="000000" w:themeColor="text1"/>
          <w:sz w:val="24"/>
        </w:rPr>
        <w:t>积：707L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湿度范围：10–95%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湿度精度：1%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湿度均一稳定性：＜±2%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温</w:t>
      </w:r>
      <w:r>
        <w:rPr>
          <w:rFonts w:hint="eastAsia"/>
          <w:bCs/>
          <w:color w:val="000000" w:themeColor="text1"/>
          <w:sz w:val="24"/>
        </w:rPr>
        <w:t xml:space="preserve">    </w:t>
      </w:r>
      <w:r w:rsidRPr="00845E7F">
        <w:rPr>
          <w:rFonts w:hint="eastAsia"/>
          <w:bCs/>
          <w:color w:val="000000" w:themeColor="text1"/>
          <w:sz w:val="24"/>
        </w:rPr>
        <w:t>控：PID模糊逻辑控制方式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5D1173">
        <w:rPr>
          <w:rFonts w:hint="eastAsia"/>
          <w:bCs/>
          <w:color w:val="000000" w:themeColor="text1"/>
          <w:sz w:val="24"/>
        </w:rPr>
        <w:t>加湿方式：蒸发器加湿</w:t>
      </w:r>
      <w:r>
        <w:rPr>
          <w:rFonts w:hint="eastAsia"/>
          <w:bCs/>
          <w:color w:val="000000" w:themeColor="text1"/>
          <w:sz w:val="24"/>
        </w:rPr>
        <w:t>；</w:t>
      </w:r>
    </w:p>
    <w:p w:rsidR="000C7C17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 w:rsidRPr="00182AC9">
        <w:rPr>
          <w:rFonts w:hint="eastAsia"/>
          <w:bCs/>
          <w:color w:val="000000" w:themeColor="text1"/>
          <w:sz w:val="24"/>
        </w:rPr>
        <w:t>搁板式光照系统：最大光强可达20000LUX，可通过控制面板按10%幅度来</w:t>
      </w:r>
    </w:p>
    <w:p w:rsidR="000C7C17" w:rsidRPr="00845E7F" w:rsidRDefault="000C7C17" w:rsidP="000C7C17">
      <w:pPr>
        <w:spacing w:line="400" w:lineRule="exact"/>
        <w:ind w:firstLine="480"/>
        <w:contextualSpacing/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 xml:space="preserve">         </w:t>
      </w:r>
      <w:r w:rsidRPr="00182AC9">
        <w:rPr>
          <w:rFonts w:hint="eastAsia"/>
          <w:bCs/>
          <w:color w:val="000000" w:themeColor="text1"/>
          <w:sz w:val="24"/>
        </w:rPr>
        <w:t>调节灯管的光照强度，含可见光和紫外光光源</w:t>
      </w:r>
      <w:r>
        <w:rPr>
          <w:rFonts w:hint="eastAsia"/>
          <w:bCs/>
          <w:color w:val="000000" w:themeColor="text1"/>
          <w:sz w:val="24"/>
        </w:rPr>
        <w:t>。</w:t>
      </w:r>
    </w:p>
    <w:p w:rsidR="000D0CB7" w:rsidRDefault="000D0CB7" w:rsidP="000C7C17">
      <w:pPr>
        <w:spacing w:line="400" w:lineRule="exact"/>
        <w:contextualSpacing/>
        <w:rPr>
          <w:rFonts w:hint="eastAsia"/>
          <w:b/>
          <w:color w:val="000000" w:themeColor="text1"/>
          <w:sz w:val="24"/>
        </w:rPr>
      </w:pPr>
    </w:p>
    <w:p w:rsidR="000C7C17" w:rsidRPr="00845E7F" w:rsidRDefault="000C7C17" w:rsidP="000C7C17">
      <w:pPr>
        <w:spacing w:line="400" w:lineRule="exact"/>
        <w:contextualSpacing/>
        <w:rPr>
          <w:b/>
          <w:color w:val="000000" w:themeColor="text1"/>
          <w:sz w:val="24"/>
        </w:rPr>
      </w:pPr>
      <w:r w:rsidRPr="00845E7F">
        <w:rPr>
          <w:b/>
          <w:color w:val="000000" w:themeColor="text1"/>
          <w:sz w:val="24"/>
        </w:rPr>
        <w:lastRenderedPageBreak/>
        <w:t>主要功能及特色</w:t>
      </w:r>
    </w:p>
    <w:p w:rsidR="000C7C17" w:rsidRPr="00845E7F" w:rsidRDefault="000C7C17" w:rsidP="000C7C17">
      <w:pPr>
        <w:spacing w:line="400" w:lineRule="exact"/>
        <w:ind w:firstLineChars="200" w:firstLine="480"/>
        <w:contextualSpacing/>
        <w:rPr>
          <w:sz w:val="24"/>
        </w:rPr>
      </w:pPr>
      <w:r w:rsidRPr="00845E7F">
        <w:rPr>
          <w:rFonts w:hint="eastAsia"/>
          <w:bCs/>
          <w:color w:val="000000" w:themeColor="text1"/>
          <w:sz w:val="24"/>
        </w:rPr>
        <w:t>能提供稳定精确的温度，湿度和光照环境，模拟各种</w:t>
      </w:r>
      <w:r>
        <w:rPr>
          <w:rFonts w:hint="eastAsia"/>
          <w:bCs/>
          <w:color w:val="000000" w:themeColor="text1"/>
          <w:sz w:val="24"/>
        </w:rPr>
        <w:t>温度和湿度</w:t>
      </w:r>
      <w:r w:rsidRPr="00845E7F">
        <w:rPr>
          <w:rFonts w:hint="eastAsia"/>
          <w:bCs/>
          <w:color w:val="000000" w:themeColor="text1"/>
          <w:sz w:val="24"/>
        </w:rPr>
        <w:t>条件。特别适合做样品的稳定性测试，长期实验，保质期测试及植物，种子和微生物的培养。该系列设备还能满足国际通用的 EN 标准和 ICH指导原则中规定的稳定性试验和（光）稳定性实验（CGMP/ICH/Q1A，Q1B，Q1C，Q1D，Q1E，Q1F）的所有要求。广泛应用于药物稳定性研究。</w:t>
      </w:r>
    </w:p>
    <w:p w:rsidR="000C7C17" w:rsidRDefault="000C7C17" w:rsidP="000C7C17">
      <w:pPr>
        <w:spacing w:line="400" w:lineRule="exact"/>
        <w:rPr>
          <w:b/>
          <w:sz w:val="24"/>
        </w:rPr>
      </w:pPr>
    </w:p>
    <w:p w:rsidR="000C7C17" w:rsidRDefault="000C7C17" w:rsidP="000C7C17">
      <w:pPr>
        <w:rPr>
          <w:sz w:val="24"/>
        </w:rPr>
      </w:pPr>
    </w:p>
    <w:p w:rsidR="00EB1544" w:rsidRDefault="00EB1544" w:rsidP="00373301">
      <w:pPr>
        <w:jc w:val="right"/>
        <w:rPr>
          <w:sz w:val="24"/>
        </w:rPr>
      </w:pPr>
    </w:p>
    <w:sectPr w:rsidR="00EB1544" w:rsidSect="003F74FE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A4" w:rsidRDefault="00AB3FA4" w:rsidP="00AF7B3A">
      <w:pPr>
        <w:spacing w:line="240" w:lineRule="auto"/>
      </w:pPr>
      <w:r>
        <w:separator/>
      </w:r>
    </w:p>
  </w:endnote>
  <w:endnote w:type="continuationSeparator" w:id="0">
    <w:p w:rsidR="00AB3FA4" w:rsidRDefault="00AB3FA4" w:rsidP="00AF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A4" w:rsidRDefault="00AB3FA4" w:rsidP="00AF7B3A">
      <w:pPr>
        <w:spacing w:line="240" w:lineRule="auto"/>
      </w:pPr>
      <w:r>
        <w:separator/>
      </w:r>
    </w:p>
  </w:footnote>
  <w:footnote w:type="continuationSeparator" w:id="0">
    <w:p w:rsidR="00AB3FA4" w:rsidRDefault="00AB3FA4" w:rsidP="00AF7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0A2"/>
    <w:rsid w:val="00046DC4"/>
    <w:rsid w:val="00050DFF"/>
    <w:rsid w:val="00067B3F"/>
    <w:rsid w:val="00071CED"/>
    <w:rsid w:val="00077BCE"/>
    <w:rsid w:val="00083BC7"/>
    <w:rsid w:val="00094DCF"/>
    <w:rsid w:val="000A4233"/>
    <w:rsid w:val="000C5842"/>
    <w:rsid w:val="000C607B"/>
    <w:rsid w:val="000C6843"/>
    <w:rsid w:val="000C7C17"/>
    <w:rsid w:val="000D0CB7"/>
    <w:rsid w:val="000E68B2"/>
    <w:rsid w:val="000F3F5F"/>
    <w:rsid w:val="000F775A"/>
    <w:rsid w:val="00130B6F"/>
    <w:rsid w:val="00142726"/>
    <w:rsid w:val="00161743"/>
    <w:rsid w:val="00186D72"/>
    <w:rsid w:val="001A0907"/>
    <w:rsid w:val="001B338B"/>
    <w:rsid w:val="001C2C91"/>
    <w:rsid w:val="001D4EE1"/>
    <w:rsid w:val="001E35C0"/>
    <w:rsid w:val="001F60E2"/>
    <w:rsid w:val="001F7C29"/>
    <w:rsid w:val="00216110"/>
    <w:rsid w:val="00247E46"/>
    <w:rsid w:val="002A2F27"/>
    <w:rsid w:val="002A7355"/>
    <w:rsid w:val="002B6379"/>
    <w:rsid w:val="002E5239"/>
    <w:rsid w:val="002E53E3"/>
    <w:rsid w:val="002F7282"/>
    <w:rsid w:val="00300EE4"/>
    <w:rsid w:val="00302AA4"/>
    <w:rsid w:val="003203B5"/>
    <w:rsid w:val="00320DFF"/>
    <w:rsid w:val="00323B43"/>
    <w:rsid w:val="003331D6"/>
    <w:rsid w:val="00336233"/>
    <w:rsid w:val="003666C4"/>
    <w:rsid w:val="00373301"/>
    <w:rsid w:val="0037451F"/>
    <w:rsid w:val="00381FF2"/>
    <w:rsid w:val="003905FD"/>
    <w:rsid w:val="003A0CA0"/>
    <w:rsid w:val="003A176B"/>
    <w:rsid w:val="003A539C"/>
    <w:rsid w:val="003A6DBA"/>
    <w:rsid w:val="003B3BE2"/>
    <w:rsid w:val="003C3966"/>
    <w:rsid w:val="003C7B55"/>
    <w:rsid w:val="003D1BDE"/>
    <w:rsid w:val="003D37D8"/>
    <w:rsid w:val="003E3BD8"/>
    <w:rsid w:val="003F74FE"/>
    <w:rsid w:val="00402FB0"/>
    <w:rsid w:val="004170BC"/>
    <w:rsid w:val="004233DA"/>
    <w:rsid w:val="00426133"/>
    <w:rsid w:val="004358AB"/>
    <w:rsid w:val="00444EFB"/>
    <w:rsid w:val="00457478"/>
    <w:rsid w:val="00487AA9"/>
    <w:rsid w:val="004950D6"/>
    <w:rsid w:val="004A1CF7"/>
    <w:rsid w:val="004B11DC"/>
    <w:rsid w:val="004B2A45"/>
    <w:rsid w:val="004B3838"/>
    <w:rsid w:val="004C1DA1"/>
    <w:rsid w:val="004C3697"/>
    <w:rsid w:val="004D161C"/>
    <w:rsid w:val="0051671A"/>
    <w:rsid w:val="005277C2"/>
    <w:rsid w:val="00534C9C"/>
    <w:rsid w:val="00535D04"/>
    <w:rsid w:val="005410C9"/>
    <w:rsid w:val="00545B90"/>
    <w:rsid w:val="00546767"/>
    <w:rsid w:val="00547027"/>
    <w:rsid w:val="005B20D0"/>
    <w:rsid w:val="005C0F98"/>
    <w:rsid w:val="005D473D"/>
    <w:rsid w:val="005D62BC"/>
    <w:rsid w:val="00604A25"/>
    <w:rsid w:val="00630007"/>
    <w:rsid w:val="006660CC"/>
    <w:rsid w:val="006864F6"/>
    <w:rsid w:val="006B05F9"/>
    <w:rsid w:val="006B1026"/>
    <w:rsid w:val="006E5490"/>
    <w:rsid w:val="006E762E"/>
    <w:rsid w:val="006F03CD"/>
    <w:rsid w:val="006F6ACD"/>
    <w:rsid w:val="007050BA"/>
    <w:rsid w:val="00713A3B"/>
    <w:rsid w:val="00714551"/>
    <w:rsid w:val="0072168D"/>
    <w:rsid w:val="007545AF"/>
    <w:rsid w:val="00795E88"/>
    <w:rsid w:val="007A5BE8"/>
    <w:rsid w:val="007C56F2"/>
    <w:rsid w:val="007D24D0"/>
    <w:rsid w:val="00806287"/>
    <w:rsid w:val="0082514A"/>
    <w:rsid w:val="00825CDF"/>
    <w:rsid w:val="00875CAC"/>
    <w:rsid w:val="00884306"/>
    <w:rsid w:val="008932C4"/>
    <w:rsid w:val="00896BD1"/>
    <w:rsid w:val="008A2A0C"/>
    <w:rsid w:val="008A4449"/>
    <w:rsid w:val="008A73CE"/>
    <w:rsid w:val="008B7726"/>
    <w:rsid w:val="008C3690"/>
    <w:rsid w:val="008D70D4"/>
    <w:rsid w:val="008E16BD"/>
    <w:rsid w:val="008E3ED7"/>
    <w:rsid w:val="009046CC"/>
    <w:rsid w:val="009101A0"/>
    <w:rsid w:val="00947D89"/>
    <w:rsid w:val="0096491E"/>
    <w:rsid w:val="009825D4"/>
    <w:rsid w:val="009A727C"/>
    <w:rsid w:val="009B5881"/>
    <w:rsid w:val="009C7F79"/>
    <w:rsid w:val="009D3CCC"/>
    <w:rsid w:val="00A00FCD"/>
    <w:rsid w:val="00A02F5A"/>
    <w:rsid w:val="00A0308C"/>
    <w:rsid w:val="00A20190"/>
    <w:rsid w:val="00A620C4"/>
    <w:rsid w:val="00A62712"/>
    <w:rsid w:val="00A910C0"/>
    <w:rsid w:val="00AA1E3F"/>
    <w:rsid w:val="00AA26C2"/>
    <w:rsid w:val="00AB3012"/>
    <w:rsid w:val="00AB3FA4"/>
    <w:rsid w:val="00AB7990"/>
    <w:rsid w:val="00AC1982"/>
    <w:rsid w:val="00AC3EEE"/>
    <w:rsid w:val="00AC7923"/>
    <w:rsid w:val="00AD0A3A"/>
    <w:rsid w:val="00AE7CE6"/>
    <w:rsid w:val="00AF7B3A"/>
    <w:rsid w:val="00B30667"/>
    <w:rsid w:val="00B54BE0"/>
    <w:rsid w:val="00B56B5A"/>
    <w:rsid w:val="00B76A13"/>
    <w:rsid w:val="00B77263"/>
    <w:rsid w:val="00B96C46"/>
    <w:rsid w:val="00BA3ACF"/>
    <w:rsid w:val="00BA61AA"/>
    <w:rsid w:val="00BC07A0"/>
    <w:rsid w:val="00BC2A15"/>
    <w:rsid w:val="00BE64BF"/>
    <w:rsid w:val="00BF053C"/>
    <w:rsid w:val="00C01EBE"/>
    <w:rsid w:val="00C12056"/>
    <w:rsid w:val="00C239BE"/>
    <w:rsid w:val="00C70A83"/>
    <w:rsid w:val="00CA6226"/>
    <w:rsid w:val="00CD097C"/>
    <w:rsid w:val="00CE7BDE"/>
    <w:rsid w:val="00D12B06"/>
    <w:rsid w:val="00D13E30"/>
    <w:rsid w:val="00D202DE"/>
    <w:rsid w:val="00D31D50"/>
    <w:rsid w:val="00D34773"/>
    <w:rsid w:val="00D45D4B"/>
    <w:rsid w:val="00D5564F"/>
    <w:rsid w:val="00D67510"/>
    <w:rsid w:val="00DA460E"/>
    <w:rsid w:val="00DB703B"/>
    <w:rsid w:val="00DC5DBF"/>
    <w:rsid w:val="00DD4372"/>
    <w:rsid w:val="00DE6D52"/>
    <w:rsid w:val="00DF51AC"/>
    <w:rsid w:val="00DF626D"/>
    <w:rsid w:val="00E0701E"/>
    <w:rsid w:val="00E076AD"/>
    <w:rsid w:val="00E24530"/>
    <w:rsid w:val="00E24F3F"/>
    <w:rsid w:val="00E46B13"/>
    <w:rsid w:val="00E55BBF"/>
    <w:rsid w:val="00E63D45"/>
    <w:rsid w:val="00E66F2B"/>
    <w:rsid w:val="00E71F8B"/>
    <w:rsid w:val="00E75399"/>
    <w:rsid w:val="00E8745D"/>
    <w:rsid w:val="00E94969"/>
    <w:rsid w:val="00EB1544"/>
    <w:rsid w:val="00EE1874"/>
    <w:rsid w:val="00EF25ED"/>
    <w:rsid w:val="00F077C5"/>
    <w:rsid w:val="00F152EA"/>
    <w:rsid w:val="00F42954"/>
    <w:rsid w:val="00F43054"/>
    <w:rsid w:val="00F436A4"/>
    <w:rsid w:val="00F534DB"/>
    <w:rsid w:val="00F72CE9"/>
    <w:rsid w:val="00F85358"/>
    <w:rsid w:val="00F8737A"/>
    <w:rsid w:val="03C64123"/>
    <w:rsid w:val="16FB3479"/>
    <w:rsid w:val="24C57337"/>
    <w:rsid w:val="3EA60413"/>
    <w:rsid w:val="4D063335"/>
    <w:rsid w:val="52F40862"/>
    <w:rsid w:val="647F2AAC"/>
    <w:rsid w:val="6BAF5D71"/>
    <w:rsid w:val="744B0933"/>
    <w:rsid w:val="7CC0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6"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272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14272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42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42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272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4272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726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42726"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next w:val="a6"/>
    <w:uiPriority w:val="59"/>
    <w:rsid w:val="001B338B"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B338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338B"/>
    <w:rPr>
      <w:rFonts w:ascii="仿宋" w:eastAsia="仿宋" w:hAnsi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C8CC74-B421-4716-8084-D51E98F2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饶欣远</cp:lastModifiedBy>
  <cp:revision>5</cp:revision>
  <cp:lastPrinted>2021-04-08T00:56:00Z</cp:lastPrinted>
  <dcterms:created xsi:type="dcterms:W3CDTF">2021-04-12T07:26:00Z</dcterms:created>
  <dcterms:modified xsi:type="dcterms:W3CDTF">2021-04-12T07:35:00Z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