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3"/>
        <w:tblpPr w:leftFromText="180" w:rightFromText="180" w:vertAnchor="text" w:horzAnchor="page" w:tblpX="1696" w:tblpY="378"/>
        <w:tblOverlap w:val="never"/>
        <w:tblW w:w="132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"/>
        <w:gridCol w:w="776"/>
        <w:gridCol w:w="3700"/>
        <w:gridCol w:w="4117"/>
        <w:gridCol w:w="3450"/>
        <w:gridCol w:w="110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" w:type="dxa"/>
          <w:trHeight w:val="249" w:hRule="atLeast"/>
        </w:trPr>
        <w:tc>
          <w:tcPr>
            <w:tcW w:w="1314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5"/>
                <w:rFonts w:hint="eastAsia" w:ascii="方正小标宋简体" w:hAnsi="方正小标宋简体" w:eastAsia="方正小标宋简体" w:cs="方正小标宋简体"/>
                <w:i w:val="0"/>
                <w:iCs w:val="0"/>
                <w:sz w:val="44"/>
                <w:szCs w:val="44"/>
                <w:lang w:val="en-US" w:eastAsia="zh-CN" w:bidi="ar"/>
              </w:rPr>
              <w:t>累计3分以上（不含3分）实验室清单明细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90" w:hRule="atLeas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房间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大气楼316-317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行为学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粤港澳中枢神经再生研究院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老印刷厂合成实验室II（204）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F2栋药学院526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梁仲景楼8-9楼802-2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生物医学转化研究院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F2栋药学院708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F2栋药学院F2-527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天然药物化学实验室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祈福楼B2栋B2-3046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祈福楼B2栋B2-2068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环境暴露与健康-生物分析室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板房A102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水处理实验室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药学院大楼604-2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中药及天然药物研究所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7" w:hRule="exact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老印刷厂合成实验室III（205）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超分子配位化学研究所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化学与材料学院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</w:tbl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147310FF"/>
    <w:rsid w:val="1473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font21"/>
    <w:basedOn w:val="4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2022-11-16T01:59:00Z</dcterms:created>
  <dc:creator>Serendipity</dc:creator>
  <cp:lastModifiedBy>Serendipity</cp:lastModifiedBy>
  <dcterms:modified xsi:type="dcterms:W3CDTF">2022-11-16T02:00:11Z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5867B21523F247BA9EACC91781363195</vt:lpwstr>
  </property>
</Properties>
</file>