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32"/>
          <w:szCs w:val="32"/>
          <w:lang w:eastAsia="zh-CN"/>
        </w:rPr>
      </w:pPr>
    </w:p>
    <w:p>
      <w:pPr>
        <w:jc w:val="center"/>
        <w:rPr>
          <w:rFonts w:hint="default" w:ascii="楷体" w:hAnsi="楷体" w:eastAsia="楷体" w:cs="楷体"/>
          <w:b/>
          <w:sz w:val="32"/>
          <w:szCs w:val="32"/>
          <w:lang w:val="en-US" w:eastAsia="zh-CN"/>
        </w:rPr>
      </w:pPr>
      <w:r>
        <w:rPr>
          <w:rFonts w:hint="eastAsia" w:ascii="楷体" w:hAnsi="楷体" w:eastAsia="楷体" w:cs="楷体"/>
          <w:b/>
          <w:sz w:val="32"/>
          <w:szCs w:val="32"/>
          <w:lang w:eastAsia="zh-CN"/>
        </w:rPr>
        <w:t>附件二：</w:t>
      </w:r>
      <w:r>
        <w:rPr>
          <w:rFonts w:hint="eastAsia" w:ascii="楷体" w:hAnsi="楷体" w:eastAsia="楷体" w:cs="楷体"/>
          <w:b/>
          <w:sz w:val="32"/>
          <w:szCs w:val="32"/>
        </w:rPr>
        <w:t>暨南大学</w:t>
      </w:r>
      <w:r>
        <w:rPr>
          <w:rFonts w:hint="eastAsia" w:ascii="楷体" w:hAnsi="楷体" w:eastAsia="楷体" w:cs="楷体"/>
          <w:b/>
          <w:sz w:val="32"/>
          <w:szCs w:val="32"/>
          <w:lang w:val="en-US" w:eastAsia="zh-CN"/>
        </w:rPr>
        <w:t>2023年虚拟仿真实验教学培育项目</w:t>
      </w:r>
    </w:p>
    <w:p>
      <w:pPr>
        <w:jc w:val="center"/>
        <w:rPr>
          <w:rFonts w:hint="eastAsia" w:ascii="楷体" w:hAnsi="楷体" w:eastAsia="楷体" w:cs="楷体"/>
          <w:b/>
          <w:sz w:val="32"/>
          <w:szCs w:val="32"/>
          <w:lang w:eastAsia="zh-CN"/>
        </w:rPr>
      </w:pPr>
      <w:r>
        <w:rPr>
          <w:rFonts w:hint="eastAsia" w:ascii="楷体" w:hAnsi="楷体" w:eastAsia="楷体" w:cs="楷体"/>
          <w:b/>
          <w:sz w:val="32"/>
          <w:szCs w:val="32"/>
        </w:rPr>
        <w:t>立项</w:t>
      </w:r>
      <w:r>
        <w:rPr>
          <w:rFonts w:hint="eastAsia" w:ascii="楷体" w:hAnsi="楷体" w:eastAsia="楷体" w:cs="楷体"/>
          <w:b/>
          <w:sz w:val="32"/>
          <w:szCs w:val="32"/>
          <w:lang w:eastAsia="zh-CN"/>
        </w:rPr>
        <w:t>名单（排名不分先后）</w:t>
      </w:r>
    </w:p>
    <w:p>
      <w:pPr>
        <w:jc w:val="center"/>
        <w:rPr>
          <w:rFonts w:hint="eastAsia" w:ascii="楷体" w:hAnsi="楷体" w:eastAsia="楷体" w:cs="楷体"/>
          <w:b/>
          <w:sz w:val="32"/>
          <w:szCs w:val="32"/>
          <w:lang w:eastAsia="zh-CN"/>
        </w:rPr>
      </w:pPr>
    </w:p>
    <w:tbl>
      <w:tblPr>
        <w:tblStyle w:val="2"/>
        <w:tblW w:w="7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869"/>
        <w:gridCol w:w="963"/>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项目</w:t>
            </w:r>
            <w:r>
              <w:rPr>
                <w:rFonts w:hint="eastAsia" w:ascii="楷体" w:hAnsi="楷体" w:eastAsia="楷体" w:cs="楷体"/>
                <w:b/>
                <w:bCs/>
                <w:sz w:val="32"/>
                <w:szCs w:val="32"/>
              </w:rPr>
              <w:t>序号</w:t>
            </w:r>
          </w:p>
        </w:tc>
        <w:tc>
          <w:tcPr>
            <w:tcW w:w="3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项目名称</w:t>
            </w:r>
          </w:p>
        </w:tc>
        <w:tc>
          <w:tcPr>
            <w:tcW w:w="9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负责人</w:t>
            </w:r>
          </w:p>
        </w:tc>
        <w:tc>
          <w:tcPr>
            <w:tcW w:w="13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申报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86"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XF202301</w:t>
            </w:r>
          </w:p>
        </w:tc>
        <w:tc>
          <w:tcPr>
            <w:tcW w:w="386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基于虚拟现实与多主体仿真的核电站事故场外人员转移应急指挥与决策实验平台的开发与应用研究</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唐攀</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公共管理/</w:t>
            </w:r>
            <w:r>
              <w:rPr>
                <w:rFonts w:hint="eastAsia" w:ascii="宋体" w:hAnsi="宋体" w:eastAsia="宋体" w:cs="宋体"/>
                <w:i w:val="0"/>
                <w:iCs w:val="0"/>
                <w:color w:val="000000"/>
                <w:kern w:val="0"/>
                <w:sz w:val="24"/>
                <w:szCs w:val="24"/>
                <w:u w:val="none"/>
                <w:lang w:val="en-US" w:eastAsia="zh-CN" w:bidi="ar"/>
              </w:rPr>
              <w:t>应急管理学院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1286"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XF202302</w:t>
            </w:r>
          </w:p>
        </w:tc>
        <w:tc>
          <w:tcPr>
            <w:tcW w:w="386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面向中文系语言学系列课程的语音及语言信息处理虚拟仿真实验</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刘新中</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1286" w:type="dxa"/>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XF202303</w:t>
            </w:r>
          </w:p>
        </w:tc>
        <w:tc>
          <w:tcPr>
            <w:tcW w:w="386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碳市场交易与履约机制虚拟仿真实验</w:t>
            </w:r>
          </w:p>
        </w:tc>
        <w:tc>
          <w:tcPr>
            <w:tcW w:w="963"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赵阳</w:t>
            </w:r>
          </w:p>
        </w:tc>
        <w:tc>
          <w:tcPr>
            <w:tcW w:w="1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管理学院</w:t>
            </w:r>
          </w:p>
        </w:tc>
      </w:tr>
    </w:tbl>
    <w:p/>
    <w:p>
      <w:pPr>
        <w:numPr>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说明：</w:t>
      </w:r>
    </w:p>
    <w:p>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学校立项，经费分年度支持，2023年度拨付经费的60%，12月31日前支付率需达到100%，2024年</w:t>
      </w:r>
      <w:bookmarkStart w:id="0" w:name="_GoBack"/>
      <w:bookmarkEnd w:id="0"/>
      <w:r>
        <w:rPr>
          <w:rFonts w:hint="eastAsia" w:ascii="仿宋" w:hAnsi="仿宋" w:eastAsia="仿宋" w:cs="仿宋"/>
          <w:sz w:val="32"/>
          <w:szCs w:val="32"/>
          <w:lang w:val="en-US" w:eastAsia="zh-CN"/>
        </w:rPr>
        <w:t>初进行中期考核，合格后拨付剩余经费。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mJmMzU4NDZmNjQ4MjRkNTZmNTkwY2JjMWY3MzkifQ=="/>
  </w:docVars>
  <w:rsids>
    <w:rsidRoot w:val="2D592771"/>
    <w:rsid w:val="13677F94"/>
    <w:rsid w:val="257F7CDD"/>
    <w:rsid w:val="2D592771"/>
    <w:rsid w:val="56C54D5D"/>
    <w:rsid w:val="6630031D"/>
    <w:rsid w:val="7415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188</Characters>
  <Lines>0</Lines>
  <Paragraphs>0</Paragraphs>
  <TotalTime>0</TotalTime>
  <ScaleCrop>false</ScaleCrop>
  <LinksUpToDate>false</LinksUpToDate>
  <CharactersWithSpaces>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2023-05-05T08:50:00Z</dcterms:created>
  <dc:creator>Zhangjialin</dc:creator>
  <cp:lastModifiedBy>Zhangjialin</cp:lastModifiedBy>
  <dcterms:modified xsi:type="dcterms:W3CDTF">2023-05-06T03:03:28Z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824B0D05A7254961A39B73B9CB06B785_11</vt:lpwstr>
  </property>
</Properties>
</file>