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33"/>
        <w:gridCol w:w="1718"/>
        <w:gridCol w:w="1585"/>
        <w:gridCol w:w="2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附件一：</w:t>
            </w:r>
            <w:r>
              <w:rPr>
                <w:rStyle w:val="4"/>
                <w:rFonts w:hint="eastAsia" w:ascii="华文仿宋" w:hAnsi="华文仿宋" w:eastAsia="华文仿宋" w:cs="华文仿宋"/>
                <w:sz w:val="28"/>
                <w:szCs w:val="28"/>
                <w:lang w:bidi="ar"/>
              </w:rPr>
              <w:t xml:space="preserve">   </w:t>
            </w:r>
            <w:r>
              <w:rPr>
                <w:rStyle w:val="4"/>
                <w:rFonts w:hint="eastAsia"/>
                <w:lang w:bidi="ar"/>
              </w:rPr>
              <w:t>5月份安全检查隐患情况分布表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一级类别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隐患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已整改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整改率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化学安全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基础安全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实验场所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特种设备与常规冷热设备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水电消防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84.88%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2022-06-16T06:50:59Z</dcterms:created>
  <dc:creator>LENOVO</dc:creator>
  <cp:lastModifiedBy>马淑燕</cp:lastModifiedBy>
  <dcterms:modified xsi:type="dcterms:W3CDTF">2022-06-16T06:51:03Z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