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322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附件二：</w:t>
            </w:r>
            <w:r>
              <w:rPr>
                <w:rStyle w:val="4"/>
                <w:rFonts w:hint="eastAsia" w:ascii="华文仿宋" w:hAnsi="华文仿宋" w:eastAsia="华文仿宋" w:cs="华文仿宋"/>
                <w:sz w:val="28"/>
                <w:szCs w:val="28"/>
                <w:lang w:bidi="ar"/>
              </w:rPr>
              <w:t xml:space="preserve"> </w:t>
            </w:r>
            <w:r>
              <w:rPr>
                <w:rStyle w:val="4"/>
                <w:rFonts w:hint="eastAsia"/>
                <w:lang w:bidi="ar"/>
              </w:rPr>
              <w:t>2022年5月31日前二级单位累计计分情况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生物医学转化研究院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衰老与再生医学研究院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先进与应用化学合成研究院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生命科学技术学院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理工学院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信息科学技术学院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珠海校区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粤港澳中枢神经再生研究院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化学与材料学院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-0.5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2022-06-16T06:50:40Z</dcterms:created>
  <dc:creator>LENOVO</dc:creator>
  <cp:lastModifiedBy>马淑燕</cp:lastModifiedBy>
  <dcterms:modified xsi:type="dcterms:W3CDTF">2022-06-16T06:50:43Z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